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10A" w:rsidRPr="000A010A" w:rsidRDefault="000A010A" w:rsidP="000A010A">
      <w:pPr>
        <w:spacing w:after="0" w:line="240" w:lineRule="auto"/>
        <w:rPr>
          <w:rFonts w:ascii="Times New Roman" w:eastAsia="Times New Roman" w:hAnsi="Times New Roman" w:cs="Times New Roman"/>
          <w:sz w:val="24"/>
          <w:szCs w:val="24"/>
          <w:lang w:eastAsia="es-UY"/>
        </w:rPr>
      </w:pPr>
    </w:p>
    <w:tbl>
      <w:tblPr>
        <w:tblW w:w="4900" w:type="pct"/>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663"/>
        <w:gridCol w:w="1642"/>
        <w:gridCol w:w="5257"/>
        <w:gridCol w:w="756"/>
      </w:tblGrid>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A010A" w:rsidRPr="000A010A" w:rsidRDefault="000A010A" w:rsidP="000A010A">
            <w:pPr>
              <w:spacing w:after="0" w:line="240" w:lineRule="auto"/>
              <w:jc w:val="center"/>
              <w:rPr>
                <w:rFonts w:ascii="Arial" w:eastAsia="Times New Roman" w:hAnsi="Arial" w:cs="Arial"/>
                <w:b/>
                <w:bCs/>
                <w:color w:val="000000"/>
                <w:sz w:val="24"/>
                <w:szCs w:val="24"/>
                <w:lang w:eastAsia="es-UY"/>
              </w:rPr>
            </w:pPr>
            <w:r w:rsidRPr="000A010A">
              <w:rPr>
                <w:rFonts w:ascii="Arial" w:eastAsia="Times New Roman" w:hAnsi="Arial" w:cs="Arial"/>
                <w:b/>
                <w:bCs/>
                <w:color w:val="000000"/>
                <w:sz w:val="24"/>
                <w:szCs w:val="24"/>
                <w:lang w:eastAsia="es-UY"/>
              </w:rPr>
              <w:t>Nº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A010A" w:rsidRPr="000A010A" w:rsidRDefault="000A010A" w:rsidP="000A010A">
            <w:pPr>
              <w:spacing w:after="0" w:line="240" w:lineRule="auto"/>
              <w:jc w:val="center"/>
              <w:rPr>
                <w:rFonts w:ascii="Arial" w:eastAsia="Times New Roman" w:hAnsi="Arial" w:cs="Arial"/>
                <w:b/>
                <w:bCs/>
                <w:color w:val="000000"/>
                <w:sz w:val="24"/>
                <w:szCs w:val="24"/>
                <w:lang w:eastAsia="es-UY"/>
              </w:rPr>
            </w:pPr>
            <w:r w:rsidRPr="000A010A">
              <w:rPr>
                <w:rFonts w:ascii="Arial" w:eastAsia="Times New Roman" w:hAnsi="Arial" w:cs="Arial"/>
                <w:b/>
                <w:bCs/>
                <w:color w:val="000000"/>
                <w:sz w:val="24"/>
                <w:szCs w:val="24"/>
                <w:lang w:eastAsia="es-UY"/>
              </w:rPr>
              <w:t>Responsable</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A010A" w:rsidRPr="000A010A" w:rsidRDefault="000A010A" w:rsidP="000A010A">
            <w:pPr>
              <w:spacing w:after="0" w:line="240" w:lineRule="auto"/>
              <w:jc w:val="center"/>
              <w:rPr>
                <w:rFonts w:ascii="Arial" w:eastAsia="Times New Roman" w:hAnsi="Arial" w:cs="Arial"/>
                <w:b/>
                <w:bCs/>
                <w:color w:val="000000"/>
                <w:sz w:val="24"/>
                <w:szCs w:val="24"/>
                <w:lang w:eastAsia="es-UY"/>
              </w:rPr>
            </w:pPr>
            <w:r w:rsidRPr="000A010A">
              <w:rPr>
                <w:rFonts w:ascii="Arial" w:eastAsia="Times New Roman" w:hAnsi="Arial" w:cs="Arial"/>
                <w:b/>
                <w:bCs/>
                <w:color w:val="000000"/>
                <w:sz w:val="24"/>
                <w:szCs w:val="24"/>
                <w:lang w:eastAsia="es-UY"/>
              </w:rPr>
              <w:t>Actividad</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A010A" w:rsidRPr="000A010A" w:rsidRDefault="000A010A" w:rsidP="000A010A">
            <w:pPr>
              <w:spacing w:after="0" w:line="240" w:lineRule="auto"/>
              <w:jc w:val="center"/>
              <w:rPr>
                <w:rFonts w:ascii="Arial" w:eastAsia="Times New Roman" w:hAnsi="Arial" w:cs="Arial"/>
                <w:b/>
                <w:bCs/>
                <w:color w:val="000000"/>
                <w:sz w:val="24"/>
                <w:szCs w:val="24"/>
                <w:lang w:eastAsia="es-UY"/>
              </w:rPr>
            </w:pPr>
            <w:r w:rsidRPr="000A010A">
              <w:rPr>
                <w:rFonts w:ascii="Arial" w:eastAsia="Times New Roman" w:hAnsi="Arial" w:cs="Arial"/>
                <w:b/>
                <w:bCs/>
                <w:color w:val="000000"/>
                <w:sz w:val="24"/>
                <w:szCs w:val="24"/>
                <w:lang w:eastAsia="es-UY"/>
              </w:rPr>
              <w:t>Sigue</w:t>
            </w:r>
          </w:p>
        </w:tc>
      </w:tr>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Inicio</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b/>
                <w:bCs/>
                <w:color w:val="000000"/>
                <w:sz w:val="24"/>
                <w:szCs w:val="24"/>
                <w:shd w:val="clear" w:color="auto" w:fill="FFFFFF"/>
                <w:lang w:eastAsia="es-UY"/>
              </w:rPr>
              <w:t>Inicio</w:t>
            </w:r>
            <w:r w:rsidRPr="000A010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5052"/>
            </w:tblGrid>
            <w:tr w:rsidR="000A010A" w:rsidRPr="000A010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935"/>
                  </w:tblGrid>
                  <w:tr w:rsidR="000A010A" w:rsidRPr="000A010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 </w:t>
            </w:r>
          </w:p>
        </w:tc>
      </w:tr>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1</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b/>
                <w:bCs/>
                <w:color w:val="000000"/>
                <w:sz w:val="24"/>
                <w:szCs w:val="24"/>
                <w:shd w:val="clear" w:color="auto" w:fill="FFFFFF"/>
                <w:lang w:eastAsia="es-UY"/>
              </w:rPr>
              <w:t>Buscar Lotes de Agencia del período</w:t>
            </w:r>
            <w:r w:rsidRPr="000A010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5052"/>
            </w:tblGrid>
            <w:tr w:rsidR="000A010A" w:rsidRPr="000A010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935"/>
                  </w:tblGrid>
                  <w:tr w:rsidR="000A010A" w:rsidRPr="000A010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r w:rsidR="000A010A" w:rsidRPr="000A010A">
              <w:trPr>
                <w:tblCellSpacing w:w="0" w:type="dxa"/>
              </w:trPr>
              <w:tc>
                <w:tcPr>
                  <w:tcW w:w="0" w:type="auto"/>
                  <w:shd w:val="clear" w:color="auto" w:fill="auto"/>
                  <w:vAlign w:val="center"/>
                  <w:hideMark/>
                </w:tcPr>
                <w:p w:rsidR="000A010A" w:rsidRPr="000A010A" w:rsidRDefault="000A010A" w:rsidP="000A010A">
                  <w:pPr>
                    <w:spacing w:before="100" w:beforeAutospacing="1" w:after="100" w:afterAutospacing="1" w:line="240" w:lineRule="auto"/>
                    <w:jc w:val="both"/>
                    <w:rPr>
                      <w:rFonts w:ascii="Times New Roman" w:eastAsia="Times New Roman" w:hAnsi="Times New Roman" w:cs="Times New Roman"/>
                      <w:sz w:val="24"/>
                      <w:szCs w:val="24"/>
                      <w:lang w:eastAsia="es-UY"/>
                    </w:rPr>
                  </w:pPr>
                  <w:r w:rsidRPr="000A010A">
                    <w:rPr>
                      <w:rFonts w:ascii="Times New Roman" w:eastAsia="Times New Roman" w:hAnsi="Times New Roman" w:cs="Times New Roman"/>
                      <w:sz w:val="24"/>
                      <w:szCs w:val="24"/>
                      <w:lang w:eastAsia="es-UY"/>
                    </w:rPr>
                    <w:t>Consultar los lotes facturados por la Agencia Externa a tratar dentro de un período mensual, con el fin de liquidar los servicios prestados por dicho agente (según el contrato vigente).</w:t>
                  </w: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 </w:t>
            </w:r>
          </w:p>
        </w:tc>
      </w:tr>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2</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b/>
                <w:bCs/>
                <w:color w:val="000000"/>
                <w:sz w:val="24"/>
                <w:szCs w:val="24"/>
                <w:shd w:val="clear" w:color="auto" w:fill="FFFFFF"/>
                <w:lang w:eastAsia="es-UY"/>
              </w:rPr>
              <w:t>Calcular Comisión a pagar</w:t>
            </w:r>
            <w:r w:rsidRPr="000A010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5052"/>
            </w:tblGrid>
            <w:tr w:rsidR="000A010A" w:rsidRPr="000A010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935"/>
                  </w:tblGrid>
                  <w:tr w:rsidR="000A010A" w:rsidRPr="000A010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r w:rsidR="000A010A" w:rsidRPr="000A010A">
              <w:trPr>
                <w:tblCellSpacing w:w="0" w:type="dxa"/>
              </w:trPr>
              <w:tc>
                <w:tcPr>
                  <w:tcW w:w="0" w:type="auto"/>
                  <w:shd w:val="clear" w:color="auto" w:fill="auto"/>
                  <w:vAlign w:val="center"/>
                  <w:hideMark/>
                </w:tcPr>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r w:rsidRPr="000A010A">
                    <w:rPr>
                      <w:rFonts w:ascii="Arial" w:eastAsia="Times New Roman" w:hAnsi="Arial" w:cs="Times New Roman"/>
                      <w:sz w:val="24"/>
                      <w:szCs w:val="24"/>
                      <w:lang w:eastAsia="es-UY"/>
                    </w:rPr>
                    <w:t>Sumar</w:t>
                  </w:r>
                  <w:r w:rsidRPr="000A010A">
                    <w:rPr>
                      <w:rFonts w:ascii="Times New Roman" w:eastAsia="Times New Roman" w:hAnsi="Times New Roman" w:cs="Times New Roman"/>
                      <w:sz w:val="24"/>
                      <w:szCs w:val="24"/>
                      <w:lang w:eastAsia="es-UY"/>
                    </w:rPr>
                    <w:t xml:space="preserve"> el total de las comisiones de cada lote del Agente Externo en tratamiento y controlar contra el contrato vigente los topes y porcentajes de comisión.</w:t>
                  </w: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 </w:t>
            </w:r>
          </w:p>
        </w:tc>
      </w:tr>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3</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b/>
                <w:bCs/>
                <w:color w:val="000000"/>
                <w:sz w:val="24"/>
                <w:szCs w:val="24"/>
                <w:shd w:val="clear" w:color="auto" w:fill="FFFFFF"/>
                <w:lang w:eastAsia="es-UY"/>
              </w:rPr>
              <w:t>Informar al Agente Externo</w:t>
            </w:r>
            <w:r w:rsidRPr="000A010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5052"/>
            </w:tblGrid>
            <w:tr w:rsidR="000A010A" w:rsidRPr="000A010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935"/>
                  </w:tblGrid>
                  <w:tr w:rsidR="000A010A" w:rsidRPr="000A010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r w:rsidR="000A010A" w:rsidRPr="000A010A">
              <w:trPr>
                <w:tblCellSpacing w:w="0" w:type="dxa"/>
              </w:trPr>
              <w:tc>
                <w:tcPr>
                  <w:tcW w:w="0" w:type="auto"/>
                  <w:shd w:val="clear" w:color="auto" w:fill="auto"/>
                  <w:vAlign w:val="center"/>
                  <w:hideMark/>
                </w:tcPr>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r w:rsidRPr="000A010A">
                    <w:rPr>
                      <w:rFonts w:ascii="Times New Roman" w:eastAsia="Times New Roman" w:hAnsi="Times New Roman" w:cs="Times New Roman"/>
                      <w:sz w:val="24"/>
                      <w:szCs w:val="24"/>
                      <w:lang w:eastAsia="es-UY"/>
                    </w:rPr>
                    <w:t>Se contacta vía telefónica con el agente externo para verificar que el importe obtenido coincida con el obtenido por la Agencia Externa.</w:t>
                  </w: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 </w:t>
            </w:r>
          </w:p>
        </w:tc>
      </w:tr>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4</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b/>
                <w:bCs/>
                <w:color w:val="000000"/>
                <w:sz w:val="24"/>
                <w:szCs w:val="24"/>
                <w:shd w:val="clear" w:color="auto" w:fill="FFFFFF"/>
                <w:lang w:eastAsia="es-UY"/>
              </w:rPr>
              <w:t>Hay Diferencia</w:t>
            </w:r>
            <w:proofErr w:type="gramStart"/>
            <w:r w:rsidRPr="000A010A">
              <w:rPr>
                <w:rFonts w:ascii="Arial" w:eastAsia="Times New Roman" w:hAnsi="Arial" w:cs="Arial"/>
                <w:b/>
                <w:bCs/>
                <w:color w:val="000000"/>
                <w:sz w:val="24"/>
                <w:szCs w:val="24"/>
                <w:shd w:val="clear" w:color="auto" w:fill="FFFFFF"/>
                <w:lang w:eastAsia="es-UY"/>
              </w:rPr>
              <w:t>?</w:t>
            </w:r>
            <w:proofErr w:type="gramEnd"/>
            <w:r w:rsidRPr="000A010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5052"/>
            </w:tblGrid>
            <w:tr w:rsidR="000A010A" w:rsidRPr="000A010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935"/>
                  </w:tblGrid>
                  <w:tr w:rsidR="000A010A" w:rsidRPr="000A010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r w:rsidR="000A010A" w:rsidRPr="000A010A">
              <w:trPr>
                <w:tblCellSpacing w:w="0" w:type="dxa"/>
              </w:trPr>
              <w:tc>
                <w:tcPr>
                  <w:tcW w:w="0" w:type="auto"/>
                  <w:shd w:val="clear" w:color="auto" w:fill="auto"/>
                  <w:vAlign w:val="center"/>
                </w:tcPr>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r w:rsidRPr="000A010A">
                    <w:rPr>
                      <w:rFonts w:ascii="Times New Roman" w:eastAsia="Times New Roman" w:hAnsi="Times New Roman" w:cs="Times New Roman"/>
                      <w:sz w:val="24"/>
                      <w:szCs w:val="24"/>
                      <w:lang w:eastAsia="es-UY"/>
                    </w:rPr>
                    <w:t xml:space="preserve">Puede que el importe sea igual al obtenido o distinto. En el caso de ser distinto se concilia. </w:t>
                  </w:r>
                </w:p>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p>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Si - 5</w:t>
            </w:r>
            <w:r w:rsidRPr="000A010A">
              <w:rPr>
                <w:rFonts w:ascii="Arial" w:eastAsia="Times New Roman" w:hAnsi="Arial" w:cs="Arial"/>
                <w:color w:val="000000"/>
                <w:sz w:val="24"/>
                <w:szCs w:val="24"/>
                <w:shd w:val="clear" w:color="auto" w:fill="FFFFFF"/>
                <w:lang w:eastAsia="es-UY"/>
              </w:rPr>
              <w:br/>
              <w:t> </w:t>
            </w:r>
            <w:r w:rsidRPr="000A010A">
              <w:rPr>
                <w:rFonts w:ascii="Arial" w:eastAsia="Times New Roman" w:hAnsi="Arial" w:cs="Arial"/>
                <w:color w:val="000000"/>
                <w:sz w:val="24"/>
                <w:szCs w:val="24"/>
                <w:shd w:val="clear" w:color="auto" w:fill="FFFFFF"/>
                <w:lang w:eastAsia="es-UY"/>
              </w:rPr>
              <w:br/>
              <w:t>No - 6</w:t>
            </w:r>
          </w:p>
        </w:tc>
      </w:tr>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5</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b/>
                <w:bCs/>
                <w:color w:val="000000"/>
                <w:sz w:val="24"/>
                <w:szCs w:val="24"/>
                <w:shd w:val="clear" w:color="auto" w:fill="FFFFFF"/>
                <w:lang w:eastAsia="es-UY"/>
              </w:rPr>
              <w:t>Conciliar con Agente Externo</w:t>
            </w:r>
            <w:r w:rsidRPr="000A010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5052"/>
            </w:tblGrid>
            <w:tr w:rsidR="000A010A" w:rsidRPr="000A010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935"/>
                  </w:tblGrid>
                  <w:tr w:rsidR="000A010A" w:rsidRPr="000A010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r w:rsidR="000A010A" w:rsidRPr="000A010A">
              <w:trPr>
                <w:tblCellSpacing w:w="0" w:type="dxa"/>
              </w:trPr>
              <w:tc>
                <w:tcPr>
                  <w:tcW w:w="0" w:type="auto"/>
                  <w:shd w:val="clear" w:color="auto" w:fill="auto"/>
                  <w:vAlign w:val="center"/>
                </w:tcPr>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r w:rsidRPr="000A010A">
                    <w:rPr>
                      <w:rFonts w:ascii="Times New Roman" w:eastAsia="Times New Roman" w:hAnsi="Times New Roman" w:cs="Times New Roman"/>
                      <w:sz w:val="24"/>
                      <w:szCs w:val="24"/>
                      <w:lang w:eastAsia="es-UY"/>
                    </w:rPr>
                    <w:t>La conciliación se da vía telefónica, de manera de ajustar y encontrar las diferencias obtenidas por ambas partes.</w:t>
                  </w:r>
                </w:p>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p>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r w:rsidRPr="000A010A">
                    <w:rPr>
                      <w:rFonts w:ascii="Times New Roman" w:eastAsia="Times New Roman" w:hAnsi="Times New Roman" w:cs="Times New Roman"/>
                      <w:sz w:val="24"/>
                      <w:szCs w:val="24"/>
                      <w:lang w:eastAsia="es-UY"/>
                    </w:rPr>
                    <w:t xml:space="preserve">El personal de OSE chequea junto al personal de la Agencia Externa, cada día de cobro de facturas, en el cual puede haber uno o más lotes. </w:t>
                  </w:r>
                </w:p>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p>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r w:rsidRPr="000A010A">
                    <w:rPr>
                      <w:rFonts w:ascii="Times New Roman" w:eastAsia="Times New Roman" w:hAnsi="Times New Roman" w:cs="Times New Roman"/>
                      <w:sz w:val="24"/>
                      <w:szCs w:val="24"/>
                      <w:lang w:eastAsia="es-UY"/>
                    </w:rPr>
                    <w:t xml:space="preserve">Una vez encontrada la fecha en el cual hay diferencia de importes, se verifica en qué factura se </w:t>
                  </w:r>
                  <w:r w:rsidRPr="000A010A">
                    <w:rPr>
                      <w:rFonts w:ascii="Times New Roman" w:eastAsia="Times New Roman" w:hAnsi="Times New Roman" w:cs="Times New Roman"/>
                      <w:sz w:val="24"/>
                      <w:szCs w:val="24"/>
                      <w:lang w:eastAsia="es-UY"/>
                    </w:rPr>
                    <w:lastRenderedPageBreak/>
                    <w:t>encuentra la diferencia y se corrige en el sistema informático comercial.</w:t>
                  </w: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lastRenderedPageBreak/>
              <w:t> </w:t>
            </w:r>
          </w:p>
        </w:tc>
      </w:tr>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lastRenderedPageBreak/>
              <w:t>6</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Gestión Cobranza</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b/>
                <w:bCs/>
                <w:color w:val="000000"/>
                <w:sz w:val="24"/>
                <w:szCs w:val="24"/>
                <w:shd w:val="clear" w:color="auto" w:fill="FFFFFF"/>
                <w:lang w:eastAsia="es-UY"/>
              </w:rPr>
              <w:t>Liquidar al Agente Externo dependiendo de la Retención</w:t>
            </w:r>
            <w:r w:rsidRPr="000A010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5052"/>
            </w:tblGrid>
            <w:tr w:rsidR="000A010A" w:rsidRPr="000A010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935"/>
                  </w:tblGrid>
                  <w:tr w:rsidR="000A010A" w:rsidRPr="000A010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r w:rsidR="000A010A" w:rsidRPr="000A010A">
              <w:trPr>
                <w:tblCellSpacing w:w="0" w:type="dxa"/>
              </w:trPr>
              <w:tc>
                <w:tcPr>
                  <w:tcW w:w="0" w:type="auto"/>
                  <w:shd w:val="clear" w:color="auto" w:fill="auto"/>
                  <w:vAlign w:val="center"/>
                </w:tcPr>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r w:rsidRPr="000A010A">
                    <w:rPr>
                      <w:rFonts w:ascii="Times New Roman" w:eastAsia="Times New Roman" w:hAnsi="Times New Roman" w:cs="Times New Roman"/>
                      <w:sz w:val="24"/>
                      <w:szCs w:val="24"/>
                      <w:lang w:eastAsia="es-UY"/>
                    </w:rPr>
                    <w:t>Según el contrato realizado se liquida con o sin retención:</w:t>
                  </w:r>
                </w:p>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p>
                <w:p w:rsidR="000A010A" w:rsidRPr="000A010A" w:rsidRDefault="000A010A" w:rsidP="000A010A">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es-UY"/>
                    </w:rPr>
                  </w:pPr>
                  <w:r w:rsidRPr="000A010A">
                    <w:rPr>
                      <w:rFonts w:ascii="Times New Roman" w:eastAsia="Arial" w:hAnsi="Times New Roman" w:cs="Arial"/>
                      <w:sz w:val="24"/>
                      <w:szCs w:val="24"/>
                      <w:lang w:eastAsia="es-UY"/>
                    </w:rPr>
                    <w:t>-</w:t>
                  </w:r>
                  <w:r w:rsidRPr="000A010A">
                    <w:rPr>
                      <w:rFonts w:ascii="Times New Roman" w:eastAsia="Arial" w:hAnsi="Times New Roman" w:cs="Times New Roman"/>
                      <w:sz w:val="14"/>
                      <w:szCs w:val="14"/>
                      <w:lang w:eastAsia="es-UY"/>
                    </w:rPr>
                    <w:t xml:space="preserve">          </w:t>
                  </w:r>
                  <w:r w:rsidRPr="000A010A">
                    <w:rPr>
                      <w:rFonts w:ascii="Times New Roman" w:eastAsia="Times New Roman" w:hAnsi="Times New Roman" w:cs="Times New Roman"/>
                      <w:sz w:val="24"/>
                      <w:szCs w:val="24"/>
                      <w:lang w:eastAsia="es-UY"/>
                    </w:rPr>
                    <w:t xml:space="preserve">En el caso de </w:t>
                  </w:r>
                  <w:r w:rsidRPr="000A010A">
                    <w:rPr>
                      <w:rFonts w:ascii="Times New Roman" w:eastAsia="Times New Roman" w:hAnsi="Times New Roman" w:cs="Times New Roman"/>
                      <w:b/>
                      <w:sz w:val="24"/>
                      <w:szCs w:val="24"/>
                      <w:lang w:eastAsia="es-UY"/>
                    </w:rPr>
                    <w:t>liquidar con retención</w:t>
                  </w:r>
                  <w:r w:rsidRPr="000A010A">
                    <w:rPr>
                      <w:rFonts w:ascii="Times New Roman" w:eastAsia="Times New Roman" w:hAnsi="Times New Roman" w:cs="Times New Roman"/>
                      <w:sz w:val="24"/>
                      <w:szCs w:val="24"/>
                      <w:lang w:eastAsia="es-UY"/>
                    </w:rPr>
                    <w:t>, significa que el Agente Externo retiene diariamente las comisiones generadas de modo de cobrarse su parte sin necesidad de cobrar en tesorería por los servicios prestados. Los únicos Agentes Externos que retienen comisiones son los Bancos en plaza, depositando la diferencia en la cuenta bancaria de OSE.</w:t>
                  </w:r>
                </w:p>
                <w:p w:rsidR="000A010A" w:rsidRPr="000A010A" w:rsidRDefault="000A010A" w:rsidP="000A010A">
                  <w:pPr>
                    <w:spacing w:before="100" w:beforeAutospacing="1" w:after="100" w:afterAutospacing="1" w:line="240" w:lineRule="auto"/>
                    <w:rPr>
                      <w:rFonts w:ascii="Times New Roman" w:eastAsia="Times New Roman" w:hAnsi="Times New Roman" w:cs="Times New Roman"/>
                      <w:sz w:val="24"/>
                      <w:szCs w:val="24"/>
                      <w:lang w:eastAsia="es-UY"/>
                    </w:rPr>
                  </w:pPr>
                </w:p>
                <w:p w:rsidR="000A010A" w:rsidRPr="000A010A" w:rsidRDefault="000A010A" w:rsidP="000A010A">
                  <w:pPr>
                    <w:tabs>
                      <w:tab w:val="num" w:pos="720"/>
                    </w:tabs>
                    <w:spacing w:before="100" w:beforeAutospacing="1" w:after="100" w:afterAutospacing="1" w:line="240" w:lineRule="auto"/>
                    <w:ind w:left="720" w:hanging="360"/>
                    <w:rPr>
                      <w:rFonts w:ascii="Times New Roman" w:eastAsia="Times New Roman" w:hAnsi="Times New Roman" w:cs="Times New Roman"/>
                      <w:sz w:val="24"/>
                      <w:szCs w:val="24"/>
                      <w:lang w:eastAsia="es-UY"/>
                    </w:rPr>
                  </w:pPr>
                  <w:r w:rsidRPr="000A010A">
                    <w:rPr>
                      <w:rFonts w:ascii="Times New Roman" w:eastAsia="Arial" w:hAnsi="Times New Roman" w:cs="Arial"/>
                      <w:sz w:val="24"/>
                      <w:szCs w:val="24"/>
                      <w:lang w:eastAsia="es-UY"/>
                    </w:rPr>
                    <w:t>-</w:t>
                  </w:r>
                  <w:r w:rsidRPr="000A010A">
                    <w:rPr>
                      <w:rFonts w:ascii="Times New Roman" w:eastAsia="Arial" w:hAnsi="Times New Roman" w:cs="Times New Roman"/>
                      <w:sz w:val="14"/>
                      <w:szCs w:val="14"/>
                      <w:lang w:eastAsia="es-UY"/>
                    </w:rPr>
                    <w:t xml:space="preserve">          </w:t>
                  </w:r>
                  <w:r w:rsidRPr="000A010A">
                    <w:rPr>
                      <w:rFonts w:ascii="Times New Roman" w:eastAsia="Times New Roman" w:hAnsi="Times New Roman" w:cs="Times New Roman"/>
                      <w:sz w:val="24"/>
                      <w:szCs w:val="24"/>
                      <w:lang w:eastAsia="es-UY"/>
                    </w:rPr>
                    <w:t xml:space="preserve">En el caso de </w:t>
                  </w:r>
                  <w:r w:rsidRPr="000A010A">
                    <w:rPr>
                      <w:rFonts w:ascii="Times New Roman" w:eastAsia="Times New Roman" w:hAnsi="Times New Roman" w:cs="Times New Roman"/>
                      <w:b/>
                      <w:sz w:val="24"/>
                      <w:szCs w:val="24"/>
                      <w:lang w:eastAsia="es-UY"/>
                    </w:rPr>
                    <w:t>liquidar sin retención</w:t>
                  </w:r>
                  <w:r w:rsidRPr="000A010A">
                    <w:rPr>
                      <w:rFonts w:ascii="Times New Roman" w:eastAsia="Times New Roman" w:hAnsi="Times New Roman" w:cs="Times New Roman"/>
                      <w:sz w:val="24"/>
                      <w:szCs w:val="24"/>
                      <w:lang w:eastAsia="es-UY"/>
                    </w:rPr>
                    <w:t>, significa que el Agente Externo no retuvo las comisiones obtenidas, depositándose por parte del Departamento Financiero Contable en la cuenta bancaria establecida por el Agente Externo.</w:t>
                  </w: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 </w:t>
            </w:r>
          </w:p>
        </w:tc>
      </w:tr>
      <w:tr w:rsidR="000A010A" w:rsidRPr="000A010A" w:rsidTr="000A010A">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Fin</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b/>
                <w:bCs/>
                <w:color w:val="000000"/>
                <w:sz w:val="24"/>
                <w:szCs w:val="24"/>
                <w:shd w:val="clear" w:color="auto" w:fill="FFFFFF"/>
                <w:lang w:eastAsia="es-UY"/>
              </w:rPr>
              <w:t>Fin</w:t>
            </w:r>
            <w:r w:rsidRPr="000A010A">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5052"/>
            </w:tblGrid>
            <w:tr w:rsidR="000A010A" w:rsidRPr="000A010A">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935"/>
                  </w:tblGrid>
                  <w:tr w:rsidR="000A010A" w:rsidRPr="000A010A">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r>
          </w:tbl>
          <w:p w:rsidR="000A010A" w:rsidRPr="000A010A" w:rsidRDefault="000A010A" w:rsidP="000A010A">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A010A" w:rsidRPr="000A010A" w:rsidRDefault="000A010A" w:rsidP="000A010A">
            <w:pPr>
              <w:spacing w:after="0" w:line="240" w:lineRule="auto"/>
              <w:rPr>
                <w:rFonts w:ascii="Times New Roman" w:eastAsia="Times New Roman" w:hAnsi="Times New Roman" w:cs="Times New Roman"/>
                <w:sz w:val="24"/>
                <w:szCs w:val="24"/>
                <w:lang w:eastAsia="es-UY"/>
              </w:rPr>
            </w:pPr>
            <w:r w:rsidRPr="000A010A">
              <w:rPr>
                <w:rFonts w:ascii="Arial" w:eastAsia="Times New Roman" w:hAnsi="Arial" w:cs="Arial"/>
                <w:color w:val="000000"/>
                <w:sz w:val="24"/>
                <w:szCs w:val="24"/>
                <w:shd w:val="clear" w:color="auto" w:fill="FFFFFF"/>
                <w:lang w:eastAsia="es-UY"/>
              </w:rPr>
              <w:t> </w:t>
            </w:r>
          </w:p>
        </w:tc>
      </w:tr>
    </w:tbl>
    <w:p w:rsidR="0000557A" w:rsidRDefault="0000557A">
      <w:bookmarkStart w:id="0" w:name="_GoBack"/>
      <w:bookmarkEnd w:id="0"/>
    </w:p>
    <w:sectPr w:rsidR="000055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10A"/>
    <w:rsid w:val="0000557A"/>
    <w:rsid w:val="000A010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275136-68F5-46C1-9029-617A8A911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99673">
      <w:bodyDiv w:val="1"/>
      <w:marLeft w:val="0"/>
      <w:marRight w:val="0"/>
      <w:marTop w:val="0"/>
      <w:marBottom w:val="0"/>
      <w:divBdr>
        <w:top w:val="none" w:sz="0" w:space="0" w:color="auto"/>
        <w:left w:val="none" w:sz="0" w:space="0" w:color="auto"/>
        <w:bottom w:val="none" w:sz="0" w:space="0" w:color="auto"/>
        <w:right w:val="none" w:sz="0" w:space="0" w:color="auto"/>
      </w:divBdr>
      <w:divsChild>
        <w:div w:id="747311669">
          <w:marLeft w:val="0"/>
          <w:marRight w:val="0"/>
          <w:marTop w:val="0"/>
          <w:marBottom w:val="0"/>
          <w:divBdr>
            <w:top w:val="none" w:sz="0" w:space="0" w:color="auto"/>
            <w:left w:val="none" w:sz="0" w:space="0" w:color="auto"/>
            <w:bottom w:val="none" w:sz="0" w:space="0" w:color="auto"/>
            <w:right w:val="none" w:sz="0" w:space="0" w:color="auto"/>
          </w:divBdr>
        </w:div>
        <w:div w:id="474567657">
          <w:marLeft w:val="0"/>
          <w:marRight w:val="0"/>
          <w:marTop w:val="0"/>
          <w:marBottom w:val="0"/>
          <w:divBdr>
            <w:top w:val="none" w:sz="0" w:space="0" w:color="auto"/>
            <w:left w:val="none" w:sz="0" w:space="0" w:color="auto"/>
            <w:bottom w:val="none" w:sz="0" w:space="0" w:color="auto"/>
            <w:right w:val="none" w:sz="0" w:space="0" w:color="auto"/>
          </w:divBdr>
        </w:div>
        <w:div w:id="1773546214">
          <w:marLeft w:val="0"/>
          <w:marRight w:val="0"/>
          <w:marTop w:val="0"/>
          <w:marBottom w:val="0"/>
          <w:divBdr>
            <w:top w:val="none" w:sz="0" w:space="0" w:color="auto"/>
            <w:left w:val="none" w:sz="0" w:space="0" w:color="auto"/>
            <w:bottom w:val="none" w:sz="0" w:space="0" w:color="auto"/>
            <w:right w:val="none" w:sz="0" w:space="0" w:color="auto"/>
          </w:divBdr>
        </w:div>
        <w:div w:id="1495225083">
          <w:marLeft w:val="0"/>
          <w:marRight w:val="0"/>
          <w:marTop w:val="0"/>
          <w:marBottom w:val="0"/>
          <w:divBdr>
            <w:top w:val="none" w:sz="0" w:space="0" w:color="auto"/>
            <w:left w:val="none" w:sz="0" w:space="0" w:color="auto"/>
            <w:bottom w:val="none" w:sz="0" w:space="0" w:color="auto"/>
            <w:right w:val="none" w:sz="0" w:space="0" w:color="auto"/>
          </w:divBdr>
        </w:div>
        <w:div w:id="825433523">
          <w:marLeft w:val="0"/>
          <w:marRight w:val="0"/>
          <w:marTop w:val="0"/>
          <w:marBottom w:val="0"/>
          <w:divBdr>
            <w:top w:val="none" w:sz="0" w:space="0" w:color="auto"/>
            <w:left w:val="none" w:sz="0" w:space="0" w:color="auto"/>
            <w:bottom w:val="none" w:sz="0" w:space="0" w:color="auto"/>
            <w:right w:val="none" w:sz="0" w:space="0" w:color="auto"/>
          </w:divBdr>
        </w:div>
        <w:div w:id="4258087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324</Words>
  <Characters>1787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Urrutia</dc:creator>
  <cp:keywords/>
  <dc:description/>
  <cp:lastModifiedBy>Mariana Urrutia</cp:lastModifiedBy>
  <cp:revision>1</cp:revision>
  <dcterms:created xsi:type="dcterms:W3CDTF">2020-01-29T13:38:00Z</dcterms:created>
  <dcterms:modified xsi:type="dcterms:W3CDTF">2020-01-29T13:41:00Z</dcterms:modified>
</cp:coreProperties>
</file>